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AB4" w:rsidRPr="002C6ED1" w:rsidRDefault="00EE1AB4" w:rsidP="00EE1AB4">
      <w:pPr>
        <w:pStyle w:val="AralkYok"/>
        <w:jc w:val="both"/>
        <w:rPr>
          <w:rStyle w:val="Gl"/>
          <w:rFonts w:ascii="Arial" w:hAnsi="Arial" w:cs="Arial"/>
          <w:color w:val="424242"/>
        </w:rPr>
      </w:pPr>
      <w:r w:rsidRPr="002C6ED1">
        <w:rPr>
          <w:rStyle w:val="Gl"/>
          <w:rFonts w:ascii="Arial" w:hAnsi="Arial" w:cs="Arial"/>
          <w:color w:val="424242"/>
        </w:rPr>
        <w:t>Sağlık Personelinin Özlük Ve Mali Hakları İle İlgili 7 Haziran 2022 Günü TBMM’ye Sunulan Kanun Teklifi Hakkında Bilgi Notu (13 Haziran 2022)</w:t>
      </w:r>
    </w:p>
    <w:p w:rsidR="00EE1AB4" w:rsidRPr="002C6ED1" w:rsidRDefault="00EE1AB4" w:rsidP="00EE1AB4">
      <w:pPr>
        <w:pStyle w:val="AralkYok"/>
        <w:jc w:val="both"/>
        <w:rPr>
          <w:rFonts w:ascii="Arial" w:hAnsi="Arial" w:cs="Arial"/>
        </w:rPr>
      </w:pPr>
    </w:p>
    <w:p w:rsidR="00EE1AB4" w:rsidRPr="002C6ED1" w:rsidRDefault="00EE1AB4" w:rsidP="00EE1AB4">
      <w:pPr>
        <w:pStyle w:val="AralkYok"/>
        <w:jc w:val="both"/>
        <w:rPr>
          <w:rFonts w:ascii="Arial" w:hAnsi="Arial" w:cs="Arial"/>
          <w:b/>
        </w:rPr>
      </w:pPr>
      <w:r w:rsidRPr="002C6ED1">
        <w:rPr>
          <w:rStyle w:val="Gl"/>
          <w:rFonts w:ascii="Arial" w:hAnsi="Arial" w:cs="Arial"/>
          <w:color w:val="424242"/>
        </w:rPr>
        <w:t>Kanun teklifinin 1.maddesi</w:t>
      </w:r>
      <w:r w:rsidRPr="002C6ED1">
        <w:rPr>
          <w:rFonts w:ascii="Arial" w:hAnsi="Arial" w:cs="Arial"/>
        </w:rPr>
        <w:t xml:space="preserve"> ile aile hekimlerinin tıpta uzmanlık sınav sonuçlarına göre merkezi yerleştirmeye tabi olmaksızın aile hekimliği uzmanlık eğitimi yapabilmeleri ile ilgili süre 01.01.2020’den 01.01.2029’a kadar uzatılmıştır. </w:t>
      </w:r>
      <w:r w:rsidRPr="002C6ED1">
        <w:rPr>
          <w:rFonts w:ascii="Arial" w:hAnsi="Arial" w:cs="Arial"/>
          <w:b/>
        </w:rPr>
        <w:t>Lehte bir düzenleme olduğunu değerlendiriyoruz.</w:t>
      </w:r>
    </w:p>
    <w:p w:rsidR="00EE1AB4" w:rsidRPr="002C6ED1" w:rsidRDefault="00EE1AB4" w:rsidP="00EE1AB4">
      <w:pPr>
        <w:pStyle w:val="AralkYok"/>
        <w:jc w:val="both"/>
        <w:rPr>
          <w:rFonts w:ascii="Arial" w:hAnsi="Arial" w:cs="Arial"/>
        </w:rPr>
      </w:pPr>
    </w:p>
    <w:p w:rsidR="00EE1AB4" w:rsidRPr="002C6ED1" w:rsidRDefault="00EE1AB4" w:rsidP="00EE1AB4">
      <w:pPr>
        <w:pStyle w:val="AralkYok"/>
        <w:jc w:val="both"/>
        <w:rPr>
          <w:rFonts w:ascii="Arial" w:hAnsi="Arial" w:cs="Arial"/>
          <w:b/>
        </w:rPr>
      </w:pPr>
      <w:r w:rsidRPr="002C6ED1">
        <w:rPr>
          <w:rStyle w:val="Gl"/>
          <w:rFonts w:ascii="Arial" w:hAnsi="Arial" w:cs="Arial"/>
          <w:color w:val="424242"/>
        </w:rPr>
        <w:t>Kanun teklifinin 2.maddesi </w:t>
      </w:r>
      <w:r w:rsidRPr="002C6ED1">
        <w:rPr>
          <w:rFonts w:ascii="Arial" w:hAnsi="Arial" w:cs="Arial"/>
        </w:rPr>
        <w:t xml:space="preserve">ile 5434 sayılı Emekli Sandığı Kanunun ek 84.maddesine göre ilave emekli aylığı gösterge rakamları %50 arttırılmıştır. Buna göre uzman hekim ve diş hekimlerinin 17000 göstergesi 26000’e yükseltilerek damga vergisi hariç 4002 TL’lik ilave emekli aylığı 6121 TL’ye yükseltilmiştir. Uzman olmayan tabip ve diş tabiplerinin 13000 gösterge rakamı 20000’e çıkarılarak 3060 TL olan ilave aylıkları 4708’TL’ye yükseltilmiştir. Kanun teklifi ile emekli olduktan sonra özel sektörde çalışan hekimlerin ilave aylıklarının kesintisi ile ilgili herhangi bir değişiklik yapılmamıştır. Sadece Emekli Sandığı Kanununa tabi olanlar bakımından değil 2008’den sonra kamuda işe başlayan hekimlerin yıl ve yaşı tamamlamaları halinde ilave emekli aylığından yararlanmaları da geleceğe dönük olarak sağlanmıştır. </w:t>
      </w:r>
      <w:r w:rsidRPr="002C6ED1">
        <w:rPr>
          <w:rFonts w:ascii="Arial" w:hAnsi="Arial" w:cs="Arial"/>
          <w:b/>
        </w:rPr>
        <w:t>Ancak belirtmeliyiz ki eski SSK ya da Bağ Kur üzerinden emekli olan hekimlerin de ilave emekli aylığından yararlandırılması sağlanmalıdır. Hekim dışı personele ilave emekli aylığı düzenlenmemiştir.</w:t>
      </w:r>
    </w:p>
    <w:p w:rsidR="00EE1AB4" w:rsidRPr="002C6ED1" w:rsidRDefault="00EE1AB4" w:rsidP="00EE1AB4">
      <w:pPr>
        <w:pStyle w:val="AralkYok"/>
        <w:jc w:val="both"/>
        <w:rPr>
          <w:rFonts w:ascii="Arial" w:hAnsi="Arial" w:cs="Arial"/>
        </w:rPr>
      </w:pPr>
    </w:p>
    <w:p w:rsidR="00EE1AB4" w:rsidRPr="002C6ED1" w:rsidRDefault="00EE1AB4" w:rsidP="00EE1AB4">
      <w:pPr>
        <w:pStyle w:val="AralkYok"/>
        <w:jc w:val="both"/>
        <w:rPr>
          <w:rStyle w:val="Gl"/>
          <w:rFonts w:ascii="Arial" w:hAnsi="Arial" w:cs="Arial"/>
          <w:bCs w:val="0"/>
        </w:rPr>
      </w:pPr>
      <w:r w:rsidRPr="002C6ED1">
        <w:rPr>
          <w:rStyle w:val="Gl"/>
          <w:rFonts w:ascii="Arial" w:hAnsi="Arial" w:cs="Arial"/>
        </w:rPr>
        <w:t xml:space="preserve">Hükümetin 3600 ek gösterge ile ilgili düzenlemeyi henüz teklif haline getirip Meclise sunmaması kafa karışıklığına sebep olmaktadır. Hekim dışı personelin emekli aylıklarının artırılabilmesi için özellikle ön lisans ve lisans mezunlarının tamamının 3600 ek göstergeden yararlandırılması ya da 600 puanlık ek gösterge artışının emekli aylığına yansıyacak şekilde emekli aylığı yansıtma oranlarının buna göre artırılması ve bu şekilde bir denge kurulması gerektiğini belirtmek isteriz. Kaldı ki hekimler için de 7200’e varana kadar ek gösterge artışı talep ettiğimizi ve bu talepten vazgeçmediğimizi özellikle belirtmek isteriz. </w:t>
      </w:r>
    </w:p>
    <w:p w:rsidR="00EE1AB4" w:rsidRPr="002C6ED1" w:rsidRDefault="00EE1AB4" w:rsidP="00EE1AB4">
      <w:pPr>
        <w:pStyle w:val="AralkYok"/>
        <w:jc w:val="both"/>
        <w:rPr>
          <w:rStyle w:val="Gl"/>
          <w:rFonts w:ascii="Arial" w:hAnsi="Arial" w:cs="Arial"/>
          <w:b w:val="0"/>
          <w:bCs w:val="0"/>
        </w:rPr>
      </w:pPr>
    </w:p>
    <w:p w:rsidR="00EE1AB4" w:rsidRPr="002C6ED1" w:rsidRDefault="00EE1AB4" w:rsidP="00EE1AB4">
      <w:pPr>
        <w:pStyle w:val="AralkYok"/>
        <w:jc w:val="both"/>
        <w:rPr>
          <w:rFonts w:ascii="Arial" w:hAnsi="Arial" w:cs="Arial"/>
          <w:b/>
        </w:rPr>
      </w:pPr>
      <w:r w:rsidRPr="002C6ED1">
        <w:rPr>
          <w:rStyle w:val="Gl"/>
          <w:rFonts w:ascii="Arial" w:hAnsi="Arial" w:cs="Arial"/>
          <w:color w:val="424242"/>
        </w:rPr>
        <w:t>Kanun teklifinin 3.maddesi</w:t>
      </w:r>
      <w:r w:rsidRPr="002C6ED1">
        <w:rPr>
          <w:rFonts w:ascii="Arial" w:hAnsi="Arial" w:cs="Arial"/>
        </w:rPr>
        <w:t xml:space="preserve"> ile 209 sayılı kanunun 5.maddesinde birçok değişiklik yapılmıştır. Bu değişikliklerden en bariz olanı döner sermayeden ödenecek ek ödeme oranlarıdır. Profesör ve doçentlerin ek ödeme oranı %800’den %950’ye, uzman tabip ve uzman diş tabipleri ile uzmanların %700’den %850’ye, pratisyen tabip ile diş tabipleri ile uzman eczacıların %500’den %650’ye, hastane müdürü ve hastanelerde görevli eczacıların %250’den %305’e, diğer personele ise %150’den %225’e yükseltilmiştir. Özellikli tıbbi işlemler karşılığı yani riskli birimlerde çalışanlara yapılacak ek ödemelerde %950 ve %850 oranları 5 kat arttırılarak uygulanacağı düzenlenmiştir. Riskli birimlerde görev yapan personelin %225 oranı %260 olarak uygulanacağı belirtilmiştir. Bu durumda her personel bir ayda alacağı aylık ek gösterge </w:t>
      </w:r>
      <w:proofErr w:type="gramStart"/>
      <w:r w:rsidRPr="002C6ED1">
        <w:rPr>
          <w:rFonts w:ascii="Arial" w:hAnsi="Arial" w:cs="Arial"/>
        </w:rPr>
        <w:t>dahil</w:t>
      </w:r>
      <w:proofErr w:type="gramEnd"/>
      <w:r w:rsidRPr="002C6ED1">
        <w:rPr>
          <w:rFonts w:ascii="Arial" w:hAnsi="Arial" w:cs="Arial"/>
        </w:rPr>
        <w:t xml:space="preserve"> ücretinin belli yüzde dilimleri ile çarpımı sonucu bulunacak tutar kadar ek ödeme (performans) alabilecektir. </w:t>
      </w:r>
      <w:r w:rsidRPr="002C6ED1">
        <w:rPr>
          <w:rFonts w:ascii="Arial" w:hAnsi="Arial" w:cs="Arial"/>
          <w:b/>
        </w:rPr>
        <w:t>Yapılan düzenleme ile özellikle hekim dışı sağlık personelinin %150 olan ek ödeme oranı %225’e çıkarılarak %50 artırım sağlanmıştır. Yani şu anda örneğin 2.000,00.- TL ek ödeme alabilecek bir kişi 3.000,00.-TL alabilecektir. Yine riskli birimde çalışanların da alabileceği oran benzer düzeyde yükseltilmiştir.</w:t>
      </w:r>
    </w:p>
    <w:p w:rsidR="00EE1AB4" w:rsidRPr="002C6ED1" w:rsidRDefault="00EE1AB4" w:rsidP="00EE1AB4">
      <w:pPr>
        <w:pStyle w:val="AralkYok"/>
        <w:jc w:val="both"/>
        <w:rPr>
          <w:rFonts w:ascii="Arial" w:hAnsi="Arial" w:cs="Arial"/>
        </w:rPr>
      </w:pPr>
    </w:p>
    <w:p w:rsidR="00EE1AB4" w:rsidRPr="002C6ED1" w:rsidRDefault="00EE1AB4" w:rsidP="00EE1AB4">
      <w:pPr>
        <w:pStyle w:val="AralkYok"/>
        <w:jc w:val="both"/>
        <w:rPr>
          <w:rFonts w:ascii="Arial" w:hAnsi="Arial" w:cs="Arial"/>
          <w:b/>
        </w:rPr>
      </w:pPr>
      <w:r w:rsidRPr="002C6ED1">
        <w:rPr>
          <w:rFonts w:ascii="Arial" w:hAnsi="Arial" w:cs="Arial"/>
        </w:rPr>
        <w:t xml:space="preserve">Ancak 375 sayılı kanunun ek 9.maddesine göre her ay aylıkla birlikte ödenen sabit ek ödeme tutarında son TİS ile birlikte uygulanan oranda herhangi bir değişiklik yapılmamıştır. Sabit ek ödeme oranları aynı bırakılmıştır. </w:t>
      </w:r>
      <w:r w:rsidRPr="002C6ED1">
        <w:rPr>
          <w:rFonts w:ascii="Arial" w:hAnsi="Arial" w:cs="Arial"/>
          <w:b/>
        </w:rPr>
        <w:t>Sabitin dışında performans alabilecek personel yukarıda belirtildiği gibi kısmi bir artış sağlanmıştır</w:t>
      </w:r>
      <w:r w:rsidRPr="002C6ED1">
        <w:rPr>
          <w:rFonts w:ascii="Arial" w:hAnsi="Arial" w:cs="Arial"/>
        </w:rPr>
        <w:t xml:space="preserve">. Sabit ek ödemelerin merkezi yönetim bütçesinden ödeneceği düzenlenmiştir. </w:t>
      </w:r>
      <w:r w:rsidRPr="002C6ED1">
        <w:rPr>
          <w:rFonts w:ascii="Arial" w:hAnsi="Arial" w:cs="Arial"/>
          <w:b/>
        </w:rPr>
        <w:t>Böylece performans için hastanenin geliri olursa biraz daha kaynak ayrılabilecektir. Sabit ek ödemelerin emekliliğe yansıması ile ilgili herhangi bir düzenleme yapılmamıştır.</w:t>
      </w:r>
    </w:p>
    <w:p w:rsidR="00EE1AB4" w:rsidRPr="002C6ED1" w:rsidRDefault="00EE1AB4" w:rsidP="00EE1AB4">
      <w:pPr>
        <w:pStyle w:val="AralkYok"/>
        <w:jc w:val="both"/>
        <w:rPr>
          <w:rFonts w:ascii="Arial" w:hAnsi="Arial" w:cs="Arial"/>
        </w:rPr>
      </w:pPr>
    </w:p>
    <w:p w:rsidR="00EE1AB4" w:rsidRPr="002C6ED1" w:rsidRDefault="00EE1AB4" w:rsidP="00EE1AB4">
      <w:pPr>
        <w:pStyle w:val="AralkYok"/>
        <w:jc w:val="both"/>
        <w:rPr>
          <w:rFonts w:ascii="Arial" w:hAnsi="Arial" w:cs="Arial"/>
          <w:b/>
        </w:rPr>
      </w:pPr>
      <w:r w:rsidRPr="002C6ED1">
        <w:rPr>
          <w:rStyle w:val="Gl"/>
          <w:rFonts w:ascii="Arial" w:hAnsi="Arial" w:cs="Arial"/>
          <w:color w:val="424242"/>
        </w:rPr>
        <w:lastRenderedPageBreak/>
        <w:t>Kanun teklifinin 4.maddesi</w:t>
      </w:r>
      <w:r w:rsidRPr="002C6ED1">
        <w:rPr>
          <w:rFonts w:ascii="Arial" w:hAnsi="Arial" w:cs="Arial"/>
        </w:rPr>
        <w:t xml:space="preserve"> ile Tamgün Yasası ile hekimlerin sabit ek ödeme oranı ayrı belirlenmişti. Kanun teklifinin 4.maddesi ile pratisyen, tabip ve diş tabiplerinin %180 oranı %265’e yükseltilmiştir. </w:t>
      </w:r>
      <w:r w:rsidRPr="002C6ED1">
        <w:rPr>
          <w:rFonts w:ascii="Arial" w:hAnsi="Arial" w:cs="Arial"/>
          <w:b/>
        </w:rPr>
        <w:t>Böylece %50’ye yakın bir artırım öngörülmüştür.</w:t>
      </w:r>
    </w:p>
    <w:p w:rsidR="00EE1AB4" w:rsidRPr="002C6ED1" w:rsidRDefault="00EE1AB4" w:rsidP="00EE1AB4">
      <w:pPr>
        <w:pStyle w:val="AralkYok"/>
        <w:jc w:val="both"/>
        <w:rPr>
          <w:rFonts w:ascii="Arial" w:hAnsi="Arial" w:cs="Arial"/>
          <w:b/>
        </w:rPr>
      </w:pPr>
    </w:p>
    <w:p w:rsidR="00EE1AB4" w:rsidRPr="002C6ED1" w:rsidRDefault="00EE1AB4" w:rsidP="00EE1AB4">
      <w:pPr>
        <w:pStyle w:val="AralkYok"/>
        <w:jc w:val="both"/>
        <w:rPr>
          <w:rFonts w:ascii="Arial" w:hAnsi="Arial" w:cs="Arial"/>
        </w:rPr>
      </w:pPr>
      <w:r w:rsidRPr="002C6ED1">
        <w:rPr>
          <w:rStyle w:val="Gl"/>
          <w:rFonts w:ascii="Arial" w:hAnsi="Arial" w:cs="Arial"/>
          <w:color w:val="424242"/>
        </w:rPr>
        <w:t>Kanun teklifinin 5.maddesi</w:t>
      </w:r>
      <w:r w:rsidRPr="002C6ED1">
        <w:rPr>
          <w:rFonts w:ascii="Arial" w:hAnsi="Arial" w:cs="Arial"/>
        </w:rPr>
        <w:t> ile gerçek kişilerden tahsil edilemeyen alacakların 5.000 TL’ye kadar olan kısmının silineceği düzenlenmiştir.</w:t>
      </w:r>
    </w:p>
    <w:p w:rsidR="00EE1AB4" w:rsidRPr="002C6ED1" w:rsidRDefault="00EE1AB4" w:rsidP="00EE1AB4">
      <w:pPr>
        <w:pStyle w:val="AralkYok"/>
        <w:jc w:val="both"/>
        <w:rPr>
          <w:rFonts w:ascii="Arial" w:hAnsi="Arial" w:cs="Arial"/>
        </w:rPr>
      </w:pPr>
    </w:p>
    <w:p w:rsidR="00EE1AB4" w:rsidRPr="002C6ED1" w:rsidRDefault="00EE1AB4" w:rsidP="00EE1AB4">
      <w:pPr>
        <w:pStyle w:val="AralkYok"/>
        <w:jc w:val="both"/>
        <w:rPr>
          <w:rFonts w:ascii="Arial" w:hAnsi="Arial" w:cs="Arial"/>
        </w:rPr>
      </w:pPr>
      <w:r w:rsidRPr="002C6ED1">
        <w:rPr>
          <w:rStyle w:val="Gl"/>
          <w:rFonts w:ascii="Arial" w:hAnsi="Arial" w:cs="Arial"/>
          <w:color w:val="424242"/>
        </w:rPr>
        <w:t>Kanun teklifinin 6.maddesi</w:t>
      </w:r>
      <w:r w:rsidRPr="002C6ED1">
        <w:rPr>
          <w:rFonts w:ascii="Arial" w:hAnsi="Arial" w:cs="Arial"/>
        </w:rPr>
        <w:t> ile üniversite hastanelerinde çalışan sağlık personelinin döner sermaye ek ödeme oranları Sağlık Bakanlığındaki gibi oranlarda yükseltilmiştir.</w:t>
      </w:r>
    </w:p>
    <w:p w:rsidR="00EE1AB4" w:rsidRPr="002C6ED1" w:rsidRDefault="00EE1AB4" w:rsidP="00EE1AB4">
      <w:pPr>
        <w:pStyle w:val="AralkYok"/>
        <w:jc w:val="both"/>
        <w:rPr>
          <w:rFonts w:ascii="Arial" w:hAnsi="Arial" w:cs="Arial"/>
        </w:rPr>
      </w:pPr>
    </w:p>
    <w:p w:rsidR="00EE1AB4" w:rsidRPr="002C6ED1" w:rsidRDefault="00EE1AB4" w:rsidP="00EE1AB4">
      <w:pPr>
        <w:pStyle w:val="AralkYok"/>
        <w:jc w:val="both"/>
        <w:rPr>
          <w:rFonts w:ascii="Arial" w:hAnsi="Arial" w:cs="Arial"/>
          <w:b/>
        </w:rPr>
      </w:pPr>
      <w:r w:rsidRPr="002C6ED1">
        <w:rPr>
          <w:rStyle w:val="Gl"/>
          <w:rFonts w:ascii="Arial" w:hAnsi="Arial" w:cs="Arial"/>
          <w:color w:val="424242"/>
        </w:rPr>
        <w:t>Kanun teklifinin 7.maddesi</w:t>
      </w:r>
      <w:r w:rsidRPr="002C6ED1">
        <w:rPr>
          <w:rFonts w:ascii="Arial" w:hAnsi="Arial" w:cs="Arial"/>
        </w:rPr>
        <w:t xml:space="preserve"> ile Adli Tıp Kurumunda yapılacak ek ödemelerin döner sermaye gelirlerinden yapılacak ek ödemeden mahsup edilmek üzere merkez yönetim bütçesinden karşılanacağı belirtilmiştir. </w:t>
      </w:r>
      <w:r w:rsidRPr="002C6ED1">
        <w:rPr>
          <w:rFonts w:ascii="Arial" w:hAnsi="Arial" w:cs="Arial"/>
          <w:b/>
        </w:rPr>
        <w:t>Bize göre teknik bir düzeltme yapılmıştır.</w:t>
      </w:r>
    </w:p>
    <w:p w:rsidR="00EE1AB4" w:rsidRPr="002C6ED1" w:rsidRDefault="00EE1AB4" w:rsidP="00EE1AB4">
      <w:pPr>
        <w:pStyle w:val="AralkYok"/>
        <w:jc w:val="both"/>
        <w:rPr>
          <w:rFonts w:ascii="Arial" w:hAnsi="Arial" w:cs="Arial"/>
          <w:b/>
        </w:rPr>
      </w:pPr>
    </w:p>
    <w:p w:rsidR="00EE1AB4" w:rsidRPr="002C6ED1" w:rsidRDefault="00EE1AB4" w:rsidP="00EE1AB4">
      <w:pPr>
        <w:pStyle w:val="AralkYok"/>
        <w:jc w:val="both"/>
        <w:rPr>
          <w:rFonts w:ascii="Arial" w:hAnsi="Arial" w:cs="Arial"/>
          <w:b/>
        </w:rPr>
      </w:pPr>
      <w:r w:rsidRPr="002C6ED1">
        <w:rPr>
          <w:rStyle w:val="Gl"/>
          <w:rFonts w:ascii="Arial" w:hAnsi="Arial" w:cs="Arial"/>
          <w:color w:val="424242"/>
        </w:rPr>
        <w:t>Kanun teklifinin 8.maddesi </w:t>
      </w:r>
      <w:r w:rsidRPr="002C6ED1">
        <w:rPr>
          <w:rFonts w:ascii="Arial" w:hAnsi="Arial" w:cs="Arial"/>
        </w:rPr>
        <w:t xml:space="preserve">ile hekimlerin kura ile yapılacak atamalarına ilişkin usul ve esaslar ile bu kişilerin sağlık Bakanlığındaki atama ve yer değiştirmelerine ilişkin usul ve esaslar ayrı bir yönetmelikle düzenleneceği belirtilmiştir. </w:t>
      </w:r>
      <w:r w:rsidRPr="002C6ED1">
        <w:rPr>
          <w:rFonts w:ascii="Arial" w:hAnsi="Arial" w:cs="Arial"/>
          <w:b/>
        </w:rPr>
        <w:t>Böylece hekimlerin atama ve yer değiştirme usul ve esaslarının diğer sağlık personelinden ayrılarak ayrı bir yönetmelikle düzenleneceği getirilmiştir.</w:t>
      </w:r>
    </w:p>
    <w:p w:rsidR="00EE1AB4" w:rsidRPr="002C6ED1" w:rsidRDefault="00EE1AB4" w:rsidP="00EE1AB4">
      <w:pPr>
        <w:pStyle w:val="AralkYok"/>
        <w:jc w:val="both"/>
        <w:rPr>
          <w:rFonts w:ascii="Arial" w:hAnsi="Arial" w:cs="Arial"/>
        </w:rPr>
      </w:pPr>
    </w:p>
    <w:p w:rsidR="00EE1AB4" w:rsidRPr="002C6ED1" w:rsidRDefault="00EE1AB4" w:rsidP="00EE1AB4">
      <w:pPr>
        <w:pStyle w:val="AralkYok"/>
        <w:jc w:val="both"/>
        <w:rPr>
          <w:rFonts w:ascii="Arial" w:hAnsi="Arial" w:cs="Arial"/>
        </w:rPr>
      </w:pPr>
      <w:r w:rsidRPr="002C6ED1">
        <w:rPr>
          <w:rStyle w:val="Gl"/>
          <w:rFonts w:ascii="Arial" w:hAnsi="Arial" w:cs="Arial"/>
          <w:color w:val="424242"/>
        </w:rPr>
        <w:t>Kanun teklifinin 9.maddesi </w:t>
      </w:r>
      <w:r w:rsidRPr="002C6ED1">
        <w:rPr>
          <w:rFonts w:ascii="Arial" w:hAnsi="Arial" w:cs="Arial"/>
        </w:rPr>
        <w:t xml:space="preserve">ile yapılan düzenlemenin anlamı şudur; </w:t>
      </w:r>
      <w:r w:rsidRPr="002C6ED1">
        <w:rPr>
          <w:rFonts w:ascii="Arial" w:hAnsi="Arial" w:cs="Arial"/>
          <w:b/>
        </w:rPr>
        <w:t>ilk defa doktor olarak görev yapacak kişilerin 4924 sayılı kanuna göre atanmasına son veriliyor</w:t>
      </w:r>
      <w:r w:rsidRPr="002C6ED1">
        <w:rPr>
          <w:rFonts w:ascii="Arial" w:hAnsi="Arial" w:cs="Arial"/>
        </w:rPr>
        <w:t>. Kişiler ilk defa atanıp devlet hizmet yükümlülüğüne başladıkları yerde 4924 sayılı kanuna tabi olarak çalışabilecekleri düzenleniyor.</w:t>
      </w:r>
    </w:p>
    <w:p w:rsidR="00EE1AB4" w:rsidRPr="002C6ED1" w:rsidRDefault="00EE1AB4" w:rsidP="00EE1AB4">
      <w:pPr>
        <w:pStyle w:val="AralkYok"/>
        <w:jc w:val="both"/>
        <w:rPr>
          <w:rFonts w:ascii="Arial" w:hAnsi="Arial" w:cs="Arial"/>
        </w:rPr>
      </w:pPr>
    </w:p>
    <w:p w:rsidR="00EE1AB4" w:rsidRPr="002C6ED1" w:rsidRDefault="00EE1AB4" w:rsidP="00EE1AB4">
      <w:pPr>
        <w:pStyle w:val="AralkYok"/>
        <w:jc w:val="both"/>
        <w:rPr>
          <w:rFonts w:ascii="Arial" w:hAnsi="Arial" w:cs="Arial"/>
          <w:b/>
        </w:rPr>
      </w:pPr>
      <w:r w:rsidRPr="002C6ED1">
        <w:rPr>
          <w:rStyle w:val="Gl"/>
          <w:rFonts w:ascii="Arial" w:hAnsi="Arial" w:cs="Arial"/>
          <w:color w:val="424242"/>
        </w:rPr>
        <w:t>Kanun teklifinin 10.maddesi </w:t>
      </w:r>
      <w:r w:rsidRPr="002C6ED1">
        <w:rPr>
          <w:rFonts w:ascii="Arial" w:hAnsi="Arial" w:cs="Arial"/>
        </w:rPr>
        <w:t xml:space="preserve">ile 4924 sayılı çakılı sözleşmeli pozisyonda çalışacak sağlık personeli sayısı </w:t>
      </w:r>
      <w:r w:rsidRPr="002C6ED1">
        <w:rPr>
          <w:rFonts w:ascii="Arial" w:hAnsi="Arial" w:cs="Arial"/>
          <w:b/>
        </w:rPr>
        <w:t>22 binden 27 bine yükseltilmiştir.</w:t>
      </w:r>
    </w:p>
    <w:p w:rsidR="00EE1AB4" w:rsidRPr="002C6ED1" w:rsidRDefault="00EE1AB4" w:rsidP="00EE1AB4">
      <w:pPr>
        <w:pStyle w:val="AralkYok"/>
        <w:jc w:val="both"/>
        <w:rPr>
          <w:rFonts w:ascii="Arial" w:hAnsi="Arial" w:cs="Arial"/>
          <w:b/>
        </w:rPr>
      </w:pPr>
    </w:p>
    <w:p w:rsidR="00EE1AB4" w:rsidRPr="002C6ED1" w:rsidRDefault="00EE1AB4" w:rsidP="00EE1AB4">
      <w:pPr>
        <w:pStyle w:val="AralkYok"/>
        <w:jc w:val="both"/>
        <w:rPr>
          <w:rFonts w:ascii="Arial" w:hAnsi="Arial" w:cs="Arial"/>
        </w:rPr>
      </w:pPr>
      <w:r w:rsidRPr="002C6ED1">
        <w:rPr>
          <w:rStyle w:val="Gl"/>
          <w:rFonts w:ascii="Arial" w:hAnsi="Arial" w:cs="Arial"/>
          <w:color w:val="424242"/>
        </w:rPr>
        <w:t>Kanun teklifinin 11.maddesi </w:t>
      </w:r>
      <w:r w:rsidRPr="002C6ED1">
        <w:rPr>
          <w:rFonts w:ascii="Arial" w:hAnsi="Arial" w:cs="Arial"/>
        </w:rPr>
        <w:t>ile kamu kurumları tarafından oluşturulan aile sağlığı merkezlerinde görev yapan personelin emsali personel gibi ek ödemeden yararlanmasının önü açılmıştır.</w:t>
      </w:r>
    </w:p>
    <w:p w:rsidR="00EE1AB4" w:rsidRPr="002C6ED1" w:rsidRDefault="00EE1AB4" w:rsidP="00EE1AB4">
      <w:pPr>
        <w:pStyle w:val="AralkYok"/>
        <w:jc w:val="both"/>
        <w:rPr>
          <w:rFonts w:ascii="Arial" w:hAnsi="Arial" w:cs="Arial"/>
        </w:rPr>
      </w:pPr>
    </w:p>
    <w:p w:rsidR="00EE1AB4" w:rsidRPr="002C6ED1" w:rsidRDefault="00EE1AB4" w:rsidP="00EE1AB4">
      <w:pPr>
        <w:pStyle w:val="AralkYok"/>
        <w:jc w:val="both"/>
        <w:rPr>
          <w:rFonts w:ascii="Arial" w:hAnsi="Arial" w:cs="Arial"/>
        </w:rPr>
      </w:pPr>
      <w:r w:rsidRPr="002C6ED1">
        <w:rPr>
          <w:rStyle w:val="Gl"/>
          <w:rFonts w:ascii="Arial" w:hAnsi="Arial" w:cs="Arial"/>
          <w:color w:val="424242"/>
        </w:rPr>
        <w:t>Kanun teklifinin 12.maddesi </w:t>
      </w:r>
      <w:r w:rsidRPr="002C6ED1">
        <w:rPr>
          <w:rFonts w:ascii="Arial" w:hAnsi="Arial" w:cs="Arial"/>
        </w:rPr>
        <w:t>ile teknik bir düzenleme yapılmıştır.</w:t>
      </w:r>
    </w:p>
    <w:p w:rsidR="00EE1AB4" w:rsidRPr="002C6ED1" w:rsidRDefault="00EE1AB4" w:rsidP="00EE1AB4">
      <w:pPr>
        <w:pStyle w:val="AralkYok"/>
        <w:jc w:val="both"/>
        <w:rPr>
          <w:rFonts w:ascii="Arial" w:hAnsi="Arial" w:cs="Arial"/>
        </w:rPr>
      </w:pPr>
    </w:p>
    <w:p w:rsidR="00EE1AB4" w:rsidRPr="002C6ED1" w:rsidRDefault="00EE1AB4" w:rsidP="00EE1AB4">
      <w:pPr>
        <w:pStyle w:val="AralkYok"/>
        <w:jc w:val="both"/>
        <w:rPr>
          <w:rFonts w:ascii="Arial" w:hAnsi="Arial" w:cs="Arial"/>
        </w:rPr>
      </w:pPr>
      <w:proofErr w:type="gramStart"/>
      <w:r w:rsidRPr="002C6ED1">
        <w:rPr>
          <w:rFonts w:ascii="Arial" w:hAnsi="Arial" w:cs="Arial"/>
        </w:rPr>
        <w:t xml:space="preserve">Sendikamızın ilgili teklifin TBMM Sağlık Komisyonu ile Plan Bütçe Komisyonu görüşmelerine katılarak görüşlerini dile getirmiş, sağlığın ekip hizmeti anlayışı olduğunu belirtmiş, ekibin tüm bireylerinin özlük ve mali haklarının iyileştirilmesini anlatmış, performans sisteminin kaldırılması gerektiğini ve ek ödemelerin artırılarak emekliliğe yansıtılması gerektiğini ifade etmiş ve tüm sağlık ve sosyal hizmet çalışanlarının emekli aylıklarının yükseltilmesini talep etmiştir. </w:t>
      </w:r>
      <w:proofErr w:type="gramEnd"/>
    </w:p>
    <w:p w:rsidR="00EE1AB4" w:rsidRPr="002C6ED1" w:rsidRDefault="00EE1AB4" w:rsidP="00EE1AB4">
      <w:pPr>
        <w:pStyle w:val="AralkYok"/>
        <w:jc w:val="both"/>
        <w:rPr>
          <w:rFonts w:ascii="Arial" w:hAnsi="Arial" w:cs="Arial"/>
        </w:rPr>
      </w:pPr>
    </w:p>
    <w:p w:rsidR="00EE1AB4" w:rsidRPr="002C6ED1" w:rsidRDefault="00EE1AB4" w:rsidP="00EE1AB4">
      <w:pPr>
        <w:pStyle w:val="AralkYok"/>
        <w:jc w:val="both"/>
        <w:rPr>
          <w:rFonts w:ascii="Arial" w:hAnsi="Arial" w:cs="Arial"/>
          <w:b/>
        </w:rPr>
      </w:pPr>
      <w:r w:rsidRPr="002C6ED1">
        <w:rPr>
          <w:rFonts w:ascii="Arial" w:hAnsi="Arial" w:cs="Arial"/>
          <w:b/>
        </w:rPr>
        <w:t xml:space="preserve">Kanun teklifi geldiği gibi komisyonlardan geçmiştir. AKP’nin sosyal tarafları çağırarak görüşlerine başvurması yöntemi monologdan öteye geçmemiştir. Öyle ki hekim dışı sağlık personelinin icap nöbet ücretleri sorunu ile geçmişe dönük nöbet paralarının geri ödenmesi ile ilgili sorunları dahi çözecek adım atılmamıştır. </w:t>
      </w:r>
    </w:p>
    <w:p w:rsidR="00EE1AB4" w:rsidRDefault="00EE1AB4" w:rsidP="00EE1AB4"/>
    <w:p w:rsidR="007570F9" w:rsidRDefault="007570F9">
      <w:bookmarkStart w:id="0" w:name="_GoBack"/>
      <w:bookmarkEnd w:id="0"/>
    </w:p>
    <w:sectPr w:rsidR="007570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B4"/>
    <w:rsid w:val="007570F9"/>
    <w:rsid w:val="00EE1A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A7111-A236-4A2F-8757-166885C9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A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E1AB4"/>
    <w:rPr>
      <w:b/>
      <w:bCs/>
    </w:rPr>
  </w:style>
  <w:style w:type="paragraph" w:styleId="AralkYok">
    <w:name w:val="No Spacing"/>
    <w:uiPriority w:val="1"/>
    <w:qFormat/>
    <w:rsid w:val="00EE1A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5604</Characters>
  <Application>Microsoft Office Word</Application>
  <DocSecurity>0</DocSecurity>
  <Lines>46</Lines>
  <Paragraphs>13</Paragraphs>
  <ScaleCrop>false</ScaleCrop>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TULAY KILINC DENIZ</dc:creator>
  <cp:keywords/>
  <dc:description/>
  <cp:lastModifiedBy>TULAY KILINC DENIZ</cp:lastModifiedBy>
  <cp:revision>1</cp:revision>
  <dcterms:created xsi:type="dcterms:W3CDTF">2022-06-17T13:50:00Z</dcterms:created>
  <dcterms:modified xsi:type="dcterms:W3CDTF">2022-06-17T13:50:00Z</dcterms:modified>
</cp:coreProperties>
</file>